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70" w:rsidRDefault="00F1642D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3F6270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3F6270" w:rsidRDefault="003F6270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3F6270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>五</w:t>
            </w:r>
            <w:r>
              <w:rPr>
                <w:rFonts w:hint="eastAsia"/>
                <w:bCs/>
              </w:rPr>
              <w:t>章小结、习题课</w:t>
            </w:r>
            <w:r>
              <w:rPr>
                <w:rFonts w:ascii="宋体" w:hAnsi="宋体" w:cs="宋体" w:hint="eastAsia"/>
              </w:rPr>
              <w:t>（复习课）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3F6270" w:rsidRDefault="003F6270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3F6270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归纳法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分组练习法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3F6270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：掌握组合体的绘图、读图方法，正确尺寸标注的方法</w:t>
            </w:r>
          </w:p>
          <w:p w:rsidR="003F6270" w:rsidRDefault="00F1642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：能正确绘制组合体的三视图，能用形体分析法、线面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分析法读图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并能完成中等难度的补缺线、补视图等作业</w:t>
            </w:r>
          </w:p>
          <w:p w:rsidR="003F6270" w:rsidRDefault="00F1642D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3F6270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3F6270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F6270" w:rsidRDefault="003F6270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3F6270" w:rsidRDefault="00F1642D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：补缺线、补视图，尺寸基准</w:t>
            </w:r>
          </w:p>
          <w:p w:rsidR="003F6270" w:rsidRDefault="003F627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3F6270" w:rsidRDefault="003F627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3F6270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3F6270" w:rsidRDefault="003F6270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3F6270" w:rsidRDefault="003F627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3F6270" w:rsidRDefault="003F627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3F6270" w:rsidRDefault="00F1642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：补缺线、补视图，尺寸基准</w:t>
            </w:r>
          </w:p>
          <w:p w:rsidR="003F6270" w:rsidRDefault="003F627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F6270" w:rsidRDefault="003F627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3F6270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F6270" w:rsidRDefault="003F627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F6270" w:rsidRDefault="003F627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F6270" w:rsidRDefault="00F1642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3F6270" w:rsidRDefault="00F1642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3F6270" w:rsidRDefault="003F627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F6270" w:rsidRDefault="003F6270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3F6270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3F6270" w:rsidRDefault="00F1642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F6270" w:rsidRDefault="00F1642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3F6270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3F6270" w:rsidRDefault="00F164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3F6270" w:rsidRDefault="00F1642D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3F6270" w:rsidRDefault="00F1642D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3F6270" w:rsidRDefault="00F1642D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3F6270" w:rsidRDefault="00F1642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3F6270" w:rsidRDefault="00F1642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第五章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组合体</w:t>
            </w:r>
          </w:p>
          <w:p w:rsidR="003F6270" w:rsidRDefault="00F164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组合体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任何机器零件都是由一些基本体经过叠加、切割穿孔等方式组合而成的。</w:t>
            </w:r>
          </w:p>
          <w:p w:rsidR="003F6270" w:rsidRDefault="00F1642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1 </w:t>
            </w:r>
            <w:r>
              <w:rPr>
                <w:rFonts w:hint="eastAsia"/>
                <w:b/>
              </w:rPr>
              <w:t>组合体的组合与表面连接</w:t>
            </w:r>
          </w:p>
          <w:p w:rsidR="003F6270" w:rsidRDefault="00F1642D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组合体的组合形式</w:t>
            </w:r>
          </w:p>
          <w:p w:rsidR="003F6270" w:rsidRDefault="00F164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叠加型</w:t>
            </w:r>
            <w:r>
              <w:t xml:space="preserve"> </w:t>
            </w:r>
            <w:r>
              <w:rPr>
                <w:rFonts w:hint="eastAsia"/>
              </w:rPr>
              <w:t>切割型</w:t>
            </w:r>
            <w:r>
              <w:t xml:space="preserve"> </w:t>
            </w:r>
            <w:r>
              <w:rPr>
                <w:rFonts w:hint="eastAsia"/>
              </w:rPr>
              <w:t>综合型</w:t>
            </w:r>
            <w:r>
              <w:t></w:t>
            </w:r>
          </w:p>
          <w:p w:rsidR="003F6270" w:rsidRDefault="00F1642D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组合体中相邻形体表面的连接关系</w:t>
            </w:r>
          </w:p>
          <w:p w:rsidR="003F6270" w:rsidRDefault="00F164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共面、相切、相交</w:t>
            </w:r>
          </w:p>
          <w:p w:rsidR="003F6270" w:rsidRDefault="00F1642D">
            <w:pPr>
              <w:spacing w:line="360" w:lineRule="auto"/>
              <w:rPr>
                <w:b/>
                <w:color w:val="000000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b/>
                <w:color w:val="000000"/>
              </w:rPr>
              <w:t>§</w:t>
            </w:r>
            <w:r>
              <w:rPr>
                <w:rFonts w:hint="eastAsia"/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－</w:t>
            </w:r>
            <w:r>
              <w:rPr>
                <w:rFonts w:hint="eastAsia"/>
                <w:b/>
                <w:color w:val="000000"/>
              </w:rPr>
              <w:t xml:space="preserve">2 </w:t>
            </w:r>
            <w:r>
              <w:rPr>
                <w:rFonts w:hint="eastAsia"/>
                <w:b/>
                <w:color w:val="000000"/>
              </w:rPr>
              <w:t>画组合体的方法与步骤</w:t>
            </w:r>
          </w:p>
          <w:p w:rsidR="003F6270" w:rsidRDefault="00F164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画组合体的基本方法</w:t>
            </w:r>
          </w:p>
          <w:p w:rsidR="003F6270" w:rsidRDefault="00F164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先用形体分析法把组合体分解为若干个基本形体，分析其组合形式和相对位置，判断形体间相邻</w:t>
            </w:r>
            <w:proofErr w:type="gramStart"/>
            <w:r>
              <w:rPr>
                <w:rFonts w:hint="eastAsia"/>
              </w:rPr>
              <w:t>表面表面</w:t>
            </w:r>
            <w:proofErr w:type="gramEnd"/>
            <w:r>
              <w:rPr>
                <w:rFonts w:hint="eastAsia"/>
              </w:rPr>
              <w:t>是否存在共面、相切或相交的关系，然后逐个画出各基本形体的三视图。</w:t>
            </w:r>
          </w:p>
          <w:p w:rsidR="003F6270" w:rsidRDefault="00F1642D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叠加型组合体的视图画法</w:t>
            </w:r>
          </w:p>
          <w:p w:rsidR="003F6270" w:rsidRDefault="00F164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形体分析</w:t>
            </w:r>
          </w:p>
          <w:p w:rsidR="003F6270" w:rsidRDefault="00F1642D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支承座由</w:t>
            </w:r>
            <w:r>
              <w:rPr>
                <w:rFonts w:hint="eastAsia"/>
              </w:rPr>
              <w:t>三部分组成。竖板上部的圆柱面与左右两侧面相切；竖板与底板的后表面为共面，二者的前表面错开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共面为相交；竖板的两侧与底板上表面相交；肋板与底板、竖板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相邻表面都相交；底板、竖板上有通孔且底板前面为圆角。</w:t>
            </w:r>
          </w:p>
          <w:p w:rsidR="003F6270" w:rsidRDefault="00F1642D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选择视图</w:t>
            </w:r>
          </w:p>
          <w:p w:rsidR="003F6270" w:rsidRDefault="00F1642D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画图步骤</w:t>
            </w:r>
          </w:p>
          <w:p w:rsidR="003F6270" w:rsidRDefault="00F1642D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切割型组合体的视图画法</w:t>
            </w:r>
          </w:p>
          <w:p w:rsidR="003F6270" w:rsidRDefault="00F164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面形分析法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根据表面的投影特性来分析组合体表面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的性质、形状和相对位置，从而完成画图和读图的方法。</w:t>
            </w:r>
          </w:p>
          <w:p w:rsidR="003F6270" w:rsidRDefault="00F1642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2 </w:t>
            </w:r>
            <w:r>
              <w:rPr>
                <w:rFonts w:hint="eastAsia"/>
                <w:b/>
              </w:rPr>
              <w:t>画组合体的方法与步骤</w:t>
            </w:r>
          </w:p>
          <w:p w:rsidR="003F6270" w:rsidRDefault="00F1642D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尺寸标注的基本要求</w:t>
            </w:r>
          </w:p>
          <w:p w:rsidR="003F6270" w:rsidRDefault="00F164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对组合体尺寸标注的基本要求：</w:t>
            </w:r>
          </w:p>
          <w:p w:rsidR="003F6270" w:rsidRDefault="00F1642D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正确、齐全、清晰。</w:t>
            </w:r>
          </w:p>
          <w:p w:rsidR="003F6270" w:rsidRDefault="00F1642D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组合体的尺寸标注</w:t>
            </w:r>
          </w:p>
          <w:p w:rsidR="003F6270" w:rsidRDefault="00F1642D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基本方法：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尺寸齐全，不遗漏、不重复；定形、定位、定总体。</w:t>
            </w:r>
          </w:p>
          <w:p w:rsidR="003F6270" w:rsidRDefault="00F1642D">
            <w:pPr>
              <w:spacing w:line="360" w:lineRule="auto"/>
            </w:pPr>
            <w:r>
              <w:rPr>
                <w:rFonts w:hint="eastAsia"/>
              </w:rPr>
              <w:t xml:space="preserve">    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尺寸齐全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定形尺寸、定位尺寸、总体尺寸</w:t>
            </w:r>
          </w:p>
          <w:p w:rsidR="003F6270" w:rsidRDefault="00F1642D">
            <w:pPr>
              <w:spacing w:line="360" w:lineRule="auto"/>
            </w:pPr>
            <w:r>
              <w:t xml:space="preserve"> 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尺寸清晰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突出特征、相对集中、布局整齐</w:t>
            </w:r>
          </w:p>
          <w:p w:rsidR="003F6270" w:rsidRDefault="00F1642D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4 </w:t>
            </w:r>
            <w:r>
              <w:rPr>
                <w:rFonts w:hint="eastAsia"/>
                <w:b/>
              </w:rPr>
              <w:t>读组合体视图的方法与步骤</w:t>
            </w:r>
          </w:p>
          <w:p w:rsidR="003F6270" w:rsidRDefault="00F164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读图：根据已有视图进行形体分析，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想象物体空间形体形状的过程。</w:t>
            </w:r>
          </w:p>
          <w:p w:rsidR="003F6270" w:rsidRDefault="00F1642D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读图的基本要领</w:t>
            </w:r>
          </w:p>
          <w:p w:rsidR="003F6270" w:rsidRDefault="00F1642D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几个视图联系起来读图</w:t>
            </w:r>
          </w:p>
          <w:p w:rsidR="003F6270" w:rsidRDefault="00F1642D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一个视图相同，不能确定物体形状。</w:t>
            </w:r>
          </w:p>
          <w:p w:rsidR="003F6270" w:rsidRDefault="00F1642D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两个视图相同，也可能是不同的物体。</w:t>
            </w:r>
          </w:p>
          <w:p w:rsidR="003F6270" w:rsidRDefault="00F1642D">
            <w:pPr>
              <w:numPr>
                <w:ilvl w:val="0"/>
                <w:numId w:val="2"/>
              </w:numPr>
              <w:spacing w:line="360" w:lineRule="auto"/>
              <w:jc w:val="left"/>
            </w:pPr>
            <w:r>
              <w:rPr>
                <w:rFonts w:hint="eastAsia"/>
              </w:rPr>
              <w:t>明确视图中线框和图线的含义</w:t>
            </w:r>
          </w:p>
          <w:p w:rsidR="003F6270" w:rsidRDefault="00F1642D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）视图上的线框：通常表示物体表面（平面或曲面）的投影。</w:t>
            </w:r>
          </w:p>
          <w:p w:rsidR="003F6270" w:rsidRDefault="00F164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）相邻两线框或大线框中有小线框：表示物体不同位置的两个表面，它们相交或平行。</w:t>
            </w:r>
          </w:p>
          <w:p w:rsidR="003F6270" w:rsidRDefault="00F164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）视图中的每条图线，可能是立体表面的交线，也可能是某个表面积聚为投影面的线条。</w:t>
            </w:r>
          </w:p>
          <w:p w:rsidR="003F6270" w:rsidRDefault="00F164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．善于构思物体的形状由主视图：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可想象为长方体、圆柱体等；由俯视图：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可确定为圆柱体；由左视图：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lastRenderedPageBreak/>
              <w:t>可看出圆柱体被两倾斜平面截去一部分。</w:t>
            </w:r>
          </w:p>
          <w:p w:rsidR="003F6270" w:rsidRDefault="00F1642D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读图的基本方法</w:t>
            </w:r>
          </w:p>
          <w:p w:rsidR="003F6270" w:rsidRDefault="00F1642D">
            <w:pPr>
              <w:spacing w:line="360" w:lineRule="auto"/>
              <w:ind w:firstLineChars="200" w:firstLine="480"/>
              <w:jc w:val="left"/>
              <w:rPr>
                <w:b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形体分析法：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将组合体划分为几个组成部分，再按投影关系，找出各组成部分在所有视图中的投影，确定它们相互的位置关系，进而想象出整个形体。</w:t>
            </w:r>
          </w:p>
          <w:p w:rsidR="003F6270" w:rsidRDefault="00F164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步骤：划线框，分形体；对投影，想形状；合起来，想整体</w:t>
            </w:r>
          </w:p>
          <w:p w:rsidR="003F6270" w:rsidRDefault="00F1642D">
            <w:pPr>
              <w:ind w:firstLineChars="200" w:firstLine="480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面形分析法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用于复杂组合体的难懂部分的分析。</w:t>
            </w:r>
          </w:p>
          <w:p w:rsidR="003F6270" w:rsidRDefault="00F164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3F6270" w:rsidRDefault="00F1642D">
            <w:pPr>
              <w:spacing w:line="288" w:lineRule="auto"/>
              <w:ind w:firstLineChars="200" w:firstLine="48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>习题集：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</w:t>
            </w:r>
            <w:r>
              <w:rPr>
                <w:rFonts w:hint="eastAsia"/>
              </w:rPr>
              <w:t>P.68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P.72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3F6270" w:rsidRDefault="00F164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3F6270" w:rsidRDefault="00F1642D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>
            <w:pPr>
              <w:rPr>
                <w:sz w:val="21"/>
                <w:szCs w:val="21"/>
              </w:rPr>
            </w:pPr>
          </w:p>
          <w:p w:rsidR="003F6270" w:rsidRDefault="003F6270">
            <w:pPr>
              <w:rPr>
                <w:sz w:val="21"/>
                <w:szCs w:val="21"/>
              </w:rPr>
            </w:pPr>
          </w:p>
          <w:p w:rsidR="003F6270" w:rsidRDefault="003F6270">
            <w:pPr>
              <w:rPr>
                <w:sz w:val="21"/>
                <w:szCs w:val="21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/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>
            <w:pPr>
              <w:rPr>
                <w:rFonts w:ascii="宋体" w:hAnsi="宋体" w:cs="宋体"/>
              </w:rPr>
            </w:pPr>
          </w:p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/>
          <w:p w:rsidR="003F6270" w:rsidRDefault="003F6270">
            <w:pPr>
              <w:rPr>
                <w:b/>
              </w:rPr>
            </w:pPr>
          </w:p>
        </w:tc>
      </w:tr>
    </w:tbl>
    <w:p w:rsidR="003F6270" w:rsidRDefault="003F6270">
      <w:bookmarkStart w:id="0" w:name="_GoBack"/>
      <w:bookmarkEnd w:id="0"/>
    </w:p>
    <w:sectPr w:rsidR="003F6270" w:rsidSect="003F627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2D" w:rsidRDefault="00F1642D">
      <w:pPr>
        <w:spacing w:line="240" w:lineRule="auto"/>
      </w:pPr>
      <w:r>
        <w:separator/>
      </w:r>
    </w:p>
  </w:endnote>
  <w:endnote w:type="continuationSeparator" w:id="0">
    <w:p w:rsidR="00F1642D" w:rsidRDefault="00F16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2D" w:rsidRDefault="00F1642D">
      <w:pPr>
        <w:spacing w:line="240" w:lineRule="auto"/>
      </w:pPr>
      <w:r>
        <w:separator/>
      </w:r>
    </w:p>
  </w:footnote>
  <w:footnote w:type="continuationSeparator" w:id="0">
    <w:p w:rsidR="00F1642D" w:rsidRDefault="00F164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70" w:rsidRDefault="00F1642D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3F6270" w:rsidRDefault="003F6270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947983"/>
    <w:multiLevelType w:val="singleLevel"/>
    <w:tmpl w:val="19947983"/>
    <w:lvl w:ilvl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3F6270"/>
    <w:rsid w:val="0070198E"/>
    <w:rsid w:val="009101D0"/>
    <w:rsid w:val="00C003D8"/>
    <w:rsid w:val="00F1642D"/>
    <w:rsid w:val="014C2F88"/>
    <w:rsid w:val="023A6CD9"/>
    <w:rsid w:val="023B0DB8"/>
    <w:rsid w:val="029448FF"/>
    <w:rsid w:val="04CC471E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0EE642E8"/>
    <w:rsid w:val="0FEA04A7"/>
    <w:rsid w:val="13484DD3"/>
    <w:rsid w:val="139F2458"/>
    <w:rsid w:val="148D4928"/>
    <w:rsid w:val="16022878"/>
    <w:rsid w:val="16842043"/>
    <w:rsid w:val="16D91C04"/>
    <w:rsid w:val="17791E13"/>
    <w:rsid w:val="19C32068"/>
    <w:rsid w:val="1A7B40C4"/>
    <w:rsid w:val="1ACE7B06"/>
    <w:rsid w:val="1D722BA1"/>
    <w:rsid w:val="1E404563"/>
    <w:rsid w:val="1EFF765F"/>
    <w:rsid w:val="200B6F8C"/>
    <w:rsid w:val="21274A8D"/>
    <w:rsid w:val="22444FDB"/>
    <w:rsid w:val="245E37D0"/>
    <w:rsid w:val="250A6E49"/>
    <w:rsid w:val="26A05996"/>
    <w:rsid w:val="26E70C9F"/>
    <w:rsid w:val="27487B6B"/>
    <w:rsid w:val="2B51278E"/>
    <w:rsid w:val="2C7776AD"/>
    <w:rsid w:val="2CBF34D4"/>
    <w:rsid w:val="2DAF053F"/>
    <w:rsid w:val="2E951893"/>
    <w:rsid w:val="2EA549EA"/>
    <w:rsid w:val="2F681FC3"/>
    <w:rsid w:val="2F9E0F28"/>
    <w:rsid w:val="2FA70256"/>
    <w:rsid w:val="304A467A"/>
    <w:rsid w:val="312E3ECA"/>
    <w:rsid w:val="32EE0F67"/>
    <w:rsid w:val="33631954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CB16A05"/>
    <w:rsid w:val="3D903D62"/>
    <w:rsid w:val="3DA769AA"/>
    <w:rsid w:val="3E1A521B"/>
    <w:rsid w:val="3E8A5857"/>
    <w:rsid w:val="3EFC3F0F"/>
    <w:rsid w:val="3FBE4F87"/>
    <w:rsid w:val="403C6CA7"/>
    <w:rsid w:val="412A252F"/>
    <w:rsid w:val="427B3B7B"/>
    <w:rsid w:val="431E1F95"/>
    <w:rsid w:val="43831B46"/>
    <w:rsid w:val="45EE1552"/>
    <w:rsid w:val="47427C6D"/>
    <w:rsid w:val="478368A3"/>
    <w:rsid w:val="47C3757B"/>
    <w:rsid w:val="48AE4FC8"/>
    <w:rsid w:val="4A706B1A"/>
    <w:rsid w:val="4ADA57FC"/>
    <w:rsid w:val="4CAD799E"/>
    <w:rsid w:val="4D6F3C29"/>
    <w:rsid w:val="4DB61E88"/>
    <w:rsid w:val="50F8014B"/>
    <w:rsid w:val="53E31CF6"/>
    <w:rsid w:val="54CF6D6B"/>
    <w:rsid w:val="556C37AC"/>
    <w:rsid w:val="56BB5CAD"/>
    <w:rsid w:val="57727F03"/>
    <w:rsid w:val="57F24A63"/>
    <w:rsid w:val="5A334E97"/>
    <w:rsid w:val="5B0F37BF"/>
    <w:rsid w:val="5D17741F"/>
    <w:rsid w:val="5D6B1B04"/>
    <w:rsid w:val="5EAF69FE"/>
    <w:rsid w:val="600B23EC"/>
    <w:rsid w:val="61BC40E0"/>
    <w:rsid w:val="659750B9"/>
    <w:rsid w:val="65FA1A68"/>
    <w:rsid w:val="6653121C"/>
    <w:rsid w:val="66AE36B5"/>
    <w:rsid w:val="67D5576A"/>
    <w:rsid w:val="68F52E0C"/>
    <w:rsid w:val="69DE1F53"/>
    <w:rsid w:val="6ABC2C76"/>
    <w:rsid w:val="6AC06AA9"/>
    <w:rsid w:val="6D202C18"/>
    <w:rsid w:val="6D2D4C48"/>
    <w:rsid w:val="6D363AA9"/>
    <w:rsid w:val="6DD71E8C"/>
    <w:rsid w:val="6DDF1BCA"/>
    <w:rsid w:val="6F5D2F39"/>
    <w:rsid w:val="71FE2950"/>
    <w:rsid w:val="745C6C84"/>
    <w:rsid w:val="74F96F21"/>
    <w:rsid w:val="75205E1E"/>
    <w:rsid w:val="76240D0C"/>
    <w:rsid w:val="77546532"/>
    <w:rsid w:val="79297A7E"/>
    <w:rsid w:val="795C5B9D"/>
    <w:rsid w:val="7A77136C"/>
    <w:rsid w:val="7AEB1B27"/>
    <w:rsid w:val="7B1D6514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270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F6270"/>
    <w:rPr>
      <w:rFonts w:ascii="Arial" w:eastAsia="黑体" w:hAnsi="Arial"/>
      <w:sz w:val="20"/>
    </w:rPr>
  </w:style>
  <w:style w:type="paragraph" w:styleId="a4">
    <w:name w:val="annotation text"/>
    <w:basedOn w:val="a"/>
    <w:autoRedefine/>
    <w:qFormat/>
    <w:rsid w:val="003F6270"/>
    <w:pPr>
      <w:jc w:val="left"/>
    </w:pPr>
  </w:style>
  <w:style w:type="paragraph" w:styleId="a5">
    <w:name w:val="Body Text Indent"/>
    <w:basedOn w:val="a"/>
    <w:uiPriority w:val="99"/>
    <w:qFormat/>
    <w:rsid w:val="003F6270"/>
    <w:pPr>
      <w:spacing w:after="120"/>
      <w:ind w:leftChars="200" w:left="420"/>
    </w:pPr>
  </w:style>
  <w:style w:type="paragraph" w:styleId="a6">
    <w:name w:val="Balloon Text"/>
    <w:basedOn w:val="a"/>
    <w:link w:val="Char"/>
    <w:qFormat/>
    <w:rsid w:val="003F6270"/>
    <w:rPr>
      <w:sz w:val="18"/>
      <w:szCs w:val="18"/>
    </w:rPr>
  </w:style>
  <w:style w:type="paragraph" w:styleId="a7">
    <w:name w:val="footer"/>
    <w:basedOn w:val="a"/>
    <w:qFormat/>
    <w:rsid w:val="003F6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3F6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3F6270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qFormat/>
    <w:rsid w:val="003F62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  <w:rsid w:val="003F6270"/>
  </w:style>
  <w:style w:type="paragraph" w:customStyle="1" w:styleId="Style2">
    <w:name w:val="_Style 2"/>
    <w:qFormat/>
    <w:rsid w:val="003F6270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qFormat/>
    <w:rsid w:val="003F627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3F6270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</Words>
  <Characters>1272</Characters>
  <Application>Microsoft Office Word</Application>
  <DocSecurity>0</DocSecurity>
  <Lines>10</Lines>
  <Paragraphs>2</Paragraphs>
  <ScaleCrop>false</ScaleCrop>
  <Company>User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2024-01-16T07:58:00Z</cp:lastPrinted>
  <dcterms:created xsi:type="dcterms:W3CDTF">2020-02-23T08:12:00Z</dcterms:created>
  <dcterms:modified xsi:type="dcterms:W3CDTF">2025-09-27T14:38:00Z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4698F1A9326F4FBCB6DAC6B89F2F8F94</vt:lpwstr>
  </property>
</Properties>
</file>